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Karlshamn kommunfullmäktige</w:t>
      </w:r>
    </w:p>
    <w:p>
      <w:pPr>
        <w:pStyle w:val="Heading1"/>
      </w:pPr>
      <w:r>
        <w:t xml:space="preserve">Digital service och effektivare förvaltning i Karlshamn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ligger under genomsnittet enligt SKR:s digitaliseringsindex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digitaliseringsstrategi med mål att 80 procent av ärendena ska vara digitala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förvaltningen att införa e-tjänst för bygglov och äldreomsorg.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avsätter 2 mnkr för kompetensutveckling av personal i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årlig redovisning av digitaliseringsgraden.</w:t>
      </w:r>
    </w:p>
    <w:p>
      <w:pPr>
        <w:spacing w:before="360"/>
      </w:pPr>
    </w:p>
    <w:p>
      <w:r>
        <w:t xml:space="preserve">Karlshamn,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2026-06-06T01:48:24.921Z</dcterms:created>
  <dcterms:modified xsi:type="dcterms:W3CDTF">2026-06-06T01:48:24.921Z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